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009" w:rsidRPr="00EC0009" w:rsidRDefault="00EC0009" w:rsidP="009215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 №7</w:t>
      </w:r>
    </w:p>
    <w:p w:rsidR="00EC0009" w:rsidRPr="00EC0009" w:rsidRDefault="00EC0009" w:rsidP="009215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1.</w:t>
      </w:r>
    </w:p>
    <w:p w:rsidR="00EC0009" w:rsidRPr="00EC0009" w:rsidRDefault="00EC0009" w:rsidP="009215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Прочитайте нижеследующий текст и на его </w:t>
      </w:r>
      <w:proofErr w:type="gramStart"/>
      <w:r w:rsidRPr="00EC0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основании</w:t>
      </w:r>
      <w:proofErr w:type="gramEnd"/>
      <w:r w:rsidRPr="00EC0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ответьте на вопросы ниже. Объем работы - не менее 1 страницы.</w:t>
      </w:r>
    </w:p>
    <w:p w:rsidR="00EC0009" w:rsidRPr="00EC0009" w:rsidRDefault="00EC0009" w:rsidP="009215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теории социальной ответственности есть, конечно, рациональное зерно, иначе она не завоевывала бы сейчас мир. Только вот к попыткам оправдать бизнес и откупиться от общества оно отношения не имеет. Заботиться о сотрудниках, соблюдать экологические стандарты, инвестировать в инфраструктуру и развивать социальный маркетинг нужно ровно настолько, насколько это отвечает эгоистическим интересам бизнеса по извлечению прибыли - только тогда подобная деятельность не развратит ни сам бизнес, ни общество. Смывающий «грехи» офтальмолог Игорь Медведев относится к своему ресторану не как к благотворительности, а как к коммерческому проекту. </w:t>
      </w:r>
      <w:r w:rsidR="008C1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EC0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раз благодаря этому после посещения ресторана люди оставляют незрячим официантам стодолларовые чаевые. Они платят не за социальную ответственность, а за услугу - пребывание в полной темноте, новые ощущения и возможность сопереживать. «Ресторан прибыльный со второго месяца», - уверяет Игорь Медведев. Анита </w:t>
      </w:r>
      <w:proofErr w:type="spellStart"/>
      <w:r w:rsidRPr="00EC0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Роддик</w:t>
      </w:r>
      <w:proofErr w:type="spellEnd"/>
      <w:r w:rsidRPr="00EC0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создала экологический и этический бренд </w:t>
      </w:r>
      <w:r w:rsidRPr="00EC000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The Body Shop, </w:t>
      </w:r>
      <w:r w:rsidRPr="00EC0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наглядно показав, что социальная ответственность </w:t>
      </w:r>
      <w:proofErr w:type="gramStart"/>
      <w:r w:rsidRPr="00EC0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бизнеса</w:t>
      </w:r>
      <w:proofErr w:type="gramEnd"/>
      <w:r w:rsidRPr="00EC0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прежде всего зависит от социальной ответственности потребителей его продукции. Если люди одобряют деятельность компании, они просто покупают ее товары, если не одобряют - покупают у конкурентов. Вот тут и наступает момент истины: готово ли общество за свои убеждения не попросить расстаться с рублем других, а вытащить его из своего кармана - или наоборот, не купить и поступиться привычным образом жизни. Так происходит социально ответственное голосование рублем и долларом, а не социально безответственное </w:t>
      </w:r>
      <w:proofErr w:type="spellStart"/>
      <w:r w:rsidRPr="00EC0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шантажирование</w:t>
      </w:r>
      <w:proofErr w:type="spellEnd"/>
      <w:r w:rsidRPr="00EC0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делового мира. Нивх Владислав Соловьев клеймит незаконную добыч</w:t>
      </w:r>
      <w:r w:rsidR="008C1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EC0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нефти компанией </w:t>
      </w:r>
      <w:r w:rsidRPr="00EC000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Shell, </w:t>
      </w:r>
      <w:r w:rsidRPr="00EC0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при передвижении по Сахалину все-таки предпочитает автобус оленю.</w:t>
      </w:r>
    </w:p>
    <w:p w:rsidR="00EC0009" w:rsidRPr="00EC0009" w:rsidRDefault="008C11A7" w:rsidP="009215DB">
      <w:pPr>
        <w:widowControl w:val="0"/>
        <w:tabs>
          <w:tab w:val="left" w:pos="5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r w:rsidR="00EC0009" w:rsidRPr="00EC0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Согласны ли Вы с точкой зрения, что корпоративная социальная </w:t>
      </w:r>
      <w:r w:rsidR="00EC0009" w:rsidRPr="00EC0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ответственность есть вымогание денег у бизнеса? Аргументируйте.</w:t>
      </w:r>
    </w:p>
    <w:p w:rsidR="00EC0009" w:rsidRPr="00EC0009" w:rsidRDefault="008C11A7" w:rsidP="009215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="00EC0009" w:rsidRPr="00EC0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Вы думаете, действительно ли благотворительность «развращает» </w:t>
      </w:r>
      <w:proofErr w:type="spellStart"/>
      <w:r w:rsidR="00EC0009" w:rsidRPr="00EC0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благополучателей</w:t>
      </w:r>
      <w:proofErr w:type="spellEnd"/>
      <w:r w:rsidR="001E2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C0009" w:rsidRPr="00EC0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формируя потребительское отношение?</w:t>
      </w:r>
    </w:p>
    <w:p w:rsidR="009215DB" w:rsidRPr="003D440E" w:rsidRDefault="009215DB" w:rsidP="009215DB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44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Ответ: </w:t>
      </w:r>
    </w:p>
    <w:p w:rsidR="001C0C40" w:rsidRDefault="001C0C40" w:rsidP="009215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proofErr w:type="gramStart"/>
      <w:r w:rsidR="005F5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5F5650" w:rsidRPr="00EC0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орпоративн</w:t>
      </w:r>
      <w:r w:rsidR="005F5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proofErr w:type="gramEnd"/>
      <w:r w:rsidR="005F5650" w:rsidRPr="00EC0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</w:t>
      </w:r>
      <w:r w:rsidR="005F5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="005F5650" w:rsidRPr="00EC0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ответственность </w:t>
      </w:r>
      <w:r w:rsidR="005F5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назвать</w:t>
      </w:r>
      <w:r w:rsidR="005F5650" w:rsidRPr="00EC0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вымогание</w:t>
      </w:r>
      <w:r w:rsidR="005F5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денег у бизнеса. Бизнес заинтересован в наличии корпоративной социальной политики и реализации мероприятий в рамках корпоративной социальной ответственности, интегрированных в процессы разработки и реализации стратегии </w:t>
      </w:r>
      <w:r w:rsidR="005F5650" w:rsidRPr="00F24557">
        <w:rPr>
          <w:rFonts w:ascii="Times New Roman" w:hAnsi="Times New Roman"/>
          <w:sz w:val="28"/>
          <w:szCs w:val="28"/>
          <w:lang w:eastAsia="ru-RU"/>
        </w:rPr>
        <w:t>развития компании</w:t>
      </w:r>
      <w:r w:rsidR="005F5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</w:p>
    <w:p w:rsidR="005F5650" w:rsidRDefault="005F5650" w:rsidP="009215D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современных условиях </w:t>
      </w:r>
      <w:r w:rsidRPr="00F24557">
        <w:rPr>
          <w:rFonts w:ascii="Times New Roman" w:hAnsi="Times New Roman"/>
          <w:sz w:val="28"/>
          <w:szCs w:val="28"/>
          <w:lang w:eastAsia="ru-RU"/>
        </w:rPr>
        <w:t xml:space="preserve">успешное развитие бизнеса невозможно в условиях социальной нестабильности и возрастание роли частного сектора экономики в решении социальных проблем неизбежно. </w:t>
      </w:r>
    </w:p>
    <w:p w:rsidR="005F5650" w:rsidRDefault="005F5650" w:rsidP="009215D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Представленные в кейсе примеры в принципе не соответствуют теории «вымогания» денег у бизнеса, так как соответствуют реализации коммерческой идеи и слабо относятся к направлению социальной политики компании, т.е. цель </w:t>
      </w:r>
      <w:r w:rsidR="001C0C40">
        <w:rPr>
          <w:rFonts w:ascii="Times New Roman" w:hAnsi="Times New Roman"/>
          <w:sz w:val="28"/>
          <w:szCs w:val="28"/>
          <w:lang w:eastAsia="ru-RU"/>
        </w:rPr>
        <w:t xml:space="preserve">данных проектов – получение прибыли, а не удовлетворение социальных потребностей общества. </w:t>
      </w:r>
    </w:p>
    <w:p w:rsidR="001C0C40" w:rsidRDefault="001C0C40" w:rsidP="009215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Б</w:t>
      </w:r>
      <w:r w:rsidRPr="00EC0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лаготворительность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«развращать</w:t>
      </w:r>
      <w:r w:rsidRPr="00EC0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EC0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благополучателей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EC0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овать </w:t>
      </w:r>
      <w:r w:rsidRPr="00EC0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потребительское отношение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определенных условиях. Но в общем случае реализуемые меры, подходящие под понятие благотворительности, относятся к социально необходимым проектам – поддержка образовательных учреждений, отдельных социально незащищенных категорий, памятников культуры, спортивных учреждений, ветеранов, инвалидом, сирот, детских домов и т.д. </w:t>
      </w:r>
    </w:p>
    <w:p w:rsidR="001C0C40" w:rsidRDefault="001C0C40" w:rsidP="009215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Получение благ перечисленными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благополучателями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является процессом потребления, следовательно, не может стать причиной формирования потребительского отношения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благополучателей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отношении предоставленных социально ответственной компанией благ. </w:t>
      </w:r>
    </w:p>
    <w:p w:rsidR="001C0C40" w:rsidRDefault="001C0C40" w:rsidP="009215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15DB" w:rsidRDefault="009215D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EC0009" w:rsidRPr="00EC0009" w:rsidRDefault="00EC0009" w:rsidP="009215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Задание 2.</w:t>
      </w:r>
    </w:p>
    <w:p w:rsidR="00EC0009" w:rsidRPr="00EC0009" w:rsidRDefault="00EC0009" w:rsidP="009215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Пройдите по ссылке </w:t>
      </w:r>
      <w:hyperlink r:id="rId6" w:history="1">
        <w:r w:rsidRPr="008C11A7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val="en-US"/>
          </w:rPr>
          <w:t>http://rzd.ni/static/public/m?STRUCTURE ID=5085</w:t>
        </w:r>
      </w:hyperlink>
      <w:r w:rsidRPr="00EC000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C0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изучите политику социальной ответственности компании «РЖД». Ответьте на вопросы (объем работы не менее 1 стр.):</w:t>
      </w:r>
    </w:p>
    <w:p w:rsidR="00EC0009" w:rsidRPr="00EC0009" w:rsidRDefault="00EC0009" w:rsidP="009215DB">
      <w:pPr>
        <w:widowControl w:val="0"/>
        <w:tabs>
          <w:tab w:val="left" w:pos="55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Pr="00EC0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Какие виды внешней корпоративной социальной ответственности реализует на практике компания «РЖД»?</w:t>
      </w:r>
    </w:p>
    <w:p w:rsidR="00EC0009" w:rsidRPr="00EC0009" w:rsidRDefault="00EC0009" w:rsidP="009215DB">
      <w:pPr>
        <w:widowControl w:val="0"/>
        <w:tabs>
          <w:tab w:val="left" w:pos="55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Pr="00EC0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Какие виды внутренней корпоративной социальной ответственности реализует на практике компания «РЖД»?</w:t>
      </w:r>
    </w:p>
    <w:p w:rsidR="009215DB" w:rsidRPr="003D440E" w:rsidRDefault="009215DB" w:rsidP="009215DB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44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Ответ: </w:t>
      </w:r>
    </w:p>
    <w:p w:rsidR="00DA1165" w:rsidRDefault="0093528F" w:rsidP="009215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r w:rsidR="001C0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Рассмотрим найденный по ссылке отчет о деятельности ОАО «РЖД» в области устойчивого развития за 2019 год. </w:t>
      </w:r>
      <w:r w:rsidR="00DA1165" w:rsidRPr="00DA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Внешняя корпоративная социальная ответственность </w:t>
      </w:r>
      <w:r w:rsidR="00DA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A1165" w:rsidRPr="00DA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социальная</w:t>
      </w:r>
      <w:r w:rsidR="00DA1165" w:rsidRPr="00DA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ответственность организации, реализуемая с помощью инвестиций, которые направлены во внешнюю среду организации.</w:t>
      </w:r>
      <w:r w:rsidR="00DA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DA1165" w:rsidRPr="00DA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Внешняя корпоративная социальная ответственность ориентируется на местные сообщества, развитие территории, где предприятие осуществляет свою деятельность.</w:t>
      </w:r>
      <w:proofErr w:type="gramEnd"/>
      <w:r w:rsidR="00DA1165" w:rsidRPr="00DA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ответственность перед населением в целом и различными контактными группами бизнеса (потребителями, инвесторами, акционерами, органами власти, общественными организациями, средствами массовой информации).</w:t>
      </w:r>
      <w:r w:rsidR="00DA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ОАО «РЖД» это: </w:t>
      </w:r>
    </w:p>
    <w:p w:rsidR="00DA1165" w:rsidRDefault="00DA1165" w:rsidP="009215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охрана окружающей среды, сокращение выбросов парниковых газов; </w:t>
      </w:r>
    </w:p>
    <w:p w:rsidR="00DA1165" w:rsidRDefault="00DA1165" w:rsidP="009215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</w:t>
      </w:r>
      <w:r w:rsidRPr="00DA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еализация Генеральных соглашений о взаимодействии и сотрудничестве в обла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 железнодорожного транспорта;</w:t>
      </w:r>
    </w:p>
    <w:p w:rsidR="00DA1165" w:rsidRDefault="00DA1165" w:rsidP="009215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Pr="00DA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одготовка, заключение и реализация соглашений о социально-экономическом сотрудничестве с органами государственной власти субъектов Российской Федерации на среднесрочную перспективу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A1165" w:rsidRDefault="00DA1165" w:rsidP="009215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Pr="00DA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роведение «Дней железных дорог» с участием руководителей регионов и представителей холдинга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«РЖД»;</w:t>
      </w:r>
    </w:p>
    <w:p w:rsidR="00DA1165" w:rsidRDefault="00DA1165" w:rsidP="009215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Pr="00DA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роведение регулярных рабочих встреч на </w:t>
      </w:r>
      <w:proofErr w:type="gramStart"/>
      <w:r w:rsidRPr="00DA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уровне</w:t>
      </w:r>
      <w:proofErr w:type="gramEnd"/>
      <w:r w:rsidRPr="00DA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РЦКУ с руководством субъектов РФ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A1165" w:rsidRDefault="00DA1165" w:rsidP="009215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</w:t>
      </w:r>
      <w:r w:rsidRPr="00DA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овместное участие в </w:t>
      </w:r>
      <w:proofErr w:type="spellStart"/>
      <w:r w:rsidRPr="00DA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имиджевых</w:t>
      </w:r>
      <w:proofErr w:type="spellEnd"/>
      <w:r w:rsidRPr="00DA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торжественных мероприятиях </w:t>
      </w:r>
      <w:r w:rsidRPr="00DA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субъектов РФ и холдинга «РЖД»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A1165" w:rsidRDefault="00DA1165" w:rsidP="009215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A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DA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роведение Межрегиональных и Региональных транспортных координационных советов, постоянно действующих Рабочих групп и Комитетов, с участием представителей РЦКУ, суб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ъектов РФ, предприятий регионов;</w:t>
      </w:r>
    </w:p>
    <w:p w:rsidR="00DA1165" w:rsidRDefault="00DA1165" w:rsidP="009215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</w:t>
      </w:r>
      <w:r w:rsidRPr="00DA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заимодействие с национальными и международными общественными организациями в части реализации целей устойчивого развития ООН, участие в совместных мероприятиях, рассмотрение инициатив, в том числе в части федерального законодательства в области социально-трудовых отношений Взаимодействие с отраслевыми профсоюзами в части обеспечения социальной защиты работников и неработающих пенсионеров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A1165" w:rsidRDefault="00DA1165" w:rsidP="009215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</w:t>
      </w:r>
      <w:r w:rsidRPr="00DA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одготовка публичной нефинансовой отчетности в области устойчивого развития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3528F" w:rsidRDefault="0093528F" w:rsidP="009215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proofErr w:type="gramStart"/>
      <w:r w:rsidR="00DA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DA1165" w:rsidRPr="00DA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нутренняя</w:t>
      </w:r>
      <w:proofErr w:type="gramEnd"/>
      <w:r w:rsidR="00DA1165" w:rsidRPr="00DA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корпоративная социальная ответственность ограничена пространством компании и обычно направлена на ее работников, развитие корпоративной культуры.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C0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иды внутренней корпоративной социальной ответственности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ОАО «РЖД»:</w:t>
      </w:r>
    </w:p>
    <w:p w:rsidR="0093528F" w:rsidRDefault="0093528F" w:rsidP="009215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935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взаимодействия ОАО «РЖД» с университетскими комплексами железнодорожного транспорта программой предусматривают укрепление партнерского взаимодействия с отраслевыми вузами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3528F" w:rsidRDefault="0093528F" w:rsidP="009215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935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профессиональной переподготовки и повышения квалификации, направленные на развитие корпоративных и профессиональных компетенций руководителей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935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и повышение квалификации рабочих кадров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3528F" w:rsidRDefault="0093528F" w:rsidP="009215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935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целевая программа «Молодежь ОАО «РЖД», направленная на развитие профессиональных и корпоративных компетенций молодых работников, их активное вовлечение в решение операционных и стратегических задач холдинга «РЖД»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3528F" w:rsidRDefault="0093528F" w:rsidP="009215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материальная помощь, оплата проезда, медицинское страхование, корпоративные пенсии.</w:t>
      </w:r>
    </w:p>
    <w:p w:rsidR="0093528F" w:rsidRDefault="0093528F" w:rsidP="009215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0009" w:rsidRPr="00EC0009" w:rsidRDefault="00EC0009" w:rsidP="009215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3.</w:t>
      </w:r>
    </w:p>
    <w:p w:rsidR="00EC0009" w:rsidRPr="00EC0009" w:rsidRDefault="00EC0009" w:rsidP="009215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компании из задания 2:</w:t>
      </w:r>
    </w:p>
    <w:p w:rsidR="00EC0009" w:rsidRPr="00EC0009" w:rsidRDefault="0093528F" w:rsidP="009215DB">
      <w:pPr>
        <w:widowControl w:val="0"/>
        <w:tabs>
          <w:tab w:val="left" w:pos="55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r w:rsidR="00EC0009" w:rsidRPr="00EC0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в свободной форме оценку эффективности КСО.</w:t>
      </w:r>
    </w:p>
    <w:p w:rsidR="00EC0009" w:rsidRPr="00EC0009" w:rsidRDefault="0093528F" w:rsidP="009215DB">
      <w:pPr>
        <w:widowControl w:val="0"/>
        <w:tabs>
          <w:tab w:val="left" w:pos="55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="00EC0009" w:rsidRPr="00EC0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Обоснуйте свой ответ цифрами из социального отчета или данными с сайта компании.</w:t>
      </w:r>
    </w:p>
    <w:p w:rsidR="009215DB" w:rsidRPr="003D440E" w:rsidRDefault="009215DB" w:rsidP="009215DB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44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Ответ: </w:t>
      </w:r>
    </w:p>
    <w:p w:rsidR="009215DB" w:rsidRPr="009215DB" w:rsidRDefault="009215DB" w:rsidP="009215DB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нормативно-правовых актах не представлены общепринятые показатели для оценки эффективности КСО. Оценим эффективность КСО на основе соответствия реализуемых направлений КСО целям </w:t>
      </w:r>
      <w:r w:rsidRPr="00921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устойчивого развития ООН.</w:t>
      </w:r>
    </w:p>
    <w:p w:rsidR="009215DB" w:rsidRPr="009215DB" w:rsidRDefault="009215DB" w:rsidP="009215DB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Стратегическими приоритетами деятельность ОАО «РЖД» в области устойчивого развития является достижение целей устойчивого развития ООН. Цели устойчивого развития ООН направлены на принятие мер, позволяющих обеспечить оптимальное использование ограниченных ресурсов, применение </w:t>
      </w:r>
      <w:proofErr w:type="spellStart"/>
      <w:r w:rsidRPr="00921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</w:t>
      </w:r>
      <w:proofErr w:type="gramStart"/>
      <w:r w:rsidRPr="00921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Pr="00921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921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21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</w:t>
      </w:r>
      <w:proofErr w:type="spellEnd"/>
      <w:r w:rsidRPr="00921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-, и </w:t>
      </w:r>
      <w:proofErr w:type="spellStart"/>
      <w:r w:rsidRPr="00921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материалосберегающих</w:t>
      </w:r>
      <w:proofErr w:type="spellEnd"/>
      <w:r w:rsidRPr="00921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технологий, поддержание стабильности социальных и культурных систем, обеспечить целостность биологических и физических природных систем.</w:t>
      </w:r>
    </w:p>
    <w:p w:rsidR="00217DA6" w:rsidRDefault="00217DA6">
      <w:pPr>
        <w:rPr>
          <w:rFonts w:ascii="Times New Roman" w:eastAsia="Times New Roman" w:hAnsi="Times New Roman"/>
          <w:snapToGrid w:val="0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napToGrid w:val="0"/>
          <w:color w:val="000000"/>
          <w:sz w:val="28"/>
          <w:szCs w:val="20"/>
          <w:lang w:eastAsia="ru-RU"/>
        </w:rPr>
        <w:br w:type="page"/>
      </w:r>
    </w:p>
    <w:p w:rsidR="009215DB" w:rsidRDefault="009215DB" w:rsidP="009215DB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napToGrid w:val="0"/>
          <w:color w:val="000000"/>
          <w:sz w:val="28"/>
          <w:szCs w:val="20"/>
          <w:lang w:val="en-US" w:eastAsia="ru-RU"/>
        </w:rPr>
      </w:pPr>
      <w:r>
        <w:rPr>
          <w:rFonts w:ascii="Times New Roman" w:eastAsia="Times New Roman" w:hAnsi="Times New Roman"/>
          <w:snapToGrid w:val="0"/>
          <w:color w:val="000000"/>
          <w:sz w:val="28"/>
          <w:szCs w:val="20"/>
          <w:lang w:eastAsia="ru-RU"/>
        </w:rPr>
        <w:lastRenderedPageBreak/>
        <w:t>Таблица 1 -</w:t>
      </w:r>
      <w:r>
        <w:rPr>
          <w:rFonts w:ascii="Times New Roman" w:eastAsia="Times New Roman" w:hAnsi="Times New Roman"/>
          <w:snapToGrid w:val="0"/>
          <w:color w:val="000000"/>
          <w:sz w:val="28"/>
          <w:szCs w:val="20"/>
          <w:lang w:eastAsia="ru-RU"/>
        </w:rPr>
        <w:t xml:space="preserve"> О</w:t>
      </w:r>
      <w:r w:rsidRPr="00EC0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EC0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эффективности КСО</w:t>
      </w:r>
    </w:p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809"/>
        <w:gridCol w:w="3686"/>
        <w:gridCol w:w="4359"/>
      </w:tblGrid>
      <w:tr w:rsidR="009215DB" w:rsidTr="00217DA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DB" w:rsidRDefault="009215DB" w:rsidP="009215DB">
            <w:pPr>
              <w:widowControl w:val="0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Цели устойчивого развития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DB" w:rsidRDefault="009215DB" w:rsidP="009215DB">
            <w:pPr>
              <w:widowControl w:val="0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Мероприятия</w:t>
            </w:r>
            <w:r w:rsidR="00376F51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и программы </w:t>
            </w:r>
            <w:r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в рамках КСО </w:t>
            </w:r>
            <w:r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компании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DB" w:rsidRDefault="009215DB" w:rsidP="009215DB">
            <w:pPr>
              <w:widowControl w:val="0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Показатели достижения </w:t>
            </w:r>
            <w:r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задачи ЦУР </w:t>
            </w:r>
            <w:r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215DB" w:rsidTr="00217DA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DB" w:rsidRDefault="009215DB" w:rsidP="009215DB">
            <w:pPr>
              <w:widowControl w:val="0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DB" w:rsidRDefault="009215DB" w:rsidP="009215DB">
            <w:pPr>
              <w:widowControl w:val="0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DB" w:rsidRDefault="009215DB" w:rsidP="009215DB">
            <w:pPr>
              <w:widowControl w:val="0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9215DB" w:rsidRPr="00217DA6" w:rsidTr="00217DA6">
        <w:trPr>
          <w:trHeight w:val="524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DB" w:rsidRDefault="009215DB" w:rsidP="00217DA6">
            <w:pPr>
              <w:widowControl w:val="0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Достойная работа и экономический рост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51" w:rsidRPr="00376F51" w:rsidRDefault="00376F51" w:rsidP="00217DA6">
            <w:pPr>
              <w:widowControl w:val="0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376F51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Устойчивая работа железнодорожного транспорта обеспечивает жизнедеятельность и эффективное развитие всех отраслей экономики страны. </w:t>
            </w:r>
          </w:p>
          <w:p w:rsidR="009215DB" w:rsidRDefault="00217DA6" w:rsidP="00217DA6">
            <w:pPr>
              <w:widowControl w:val="0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217DA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Компания сохранила статус социально ответственного работодателя, все обязательства по Коллективному договору ОАО «РЖД» на 2017 - 2019 годы за 2019 год в целом выполнены. В 2019 году была обеспечена социальная стабильность в трудовых коллективах на основе проведения сбалансированной и эффективной кадровой и социальной политики Компании, не было допущено ни одного коллективного трудового спора.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51" w:rsidRDefault="00376F51" w:rsidP="00217DA6">
            <w:pPr>
              <w:widowControl w:val="0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376F51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Доля железнодорожного транспорта в структуре грузооборота транспортной системы страны составила 45,9 % (на –0,2 п. п. ниже уровня 2018 года).</w:t>
            </w:r>
            <w:r w:rsidRPr="006849AE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76F51" w:rsidRDefault="00376F51" w:rsidP="00217DA6">
            <w:pPr>
              <w:widowControl w:val="0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376F51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В 2019 году пассажирооборот транспорта в России увеличился на 7,2 % по сравнению с 2018 годом, до 570,5 </w:t>
            </w:r>
            <w:proofErr w:type="gramStart"/>
            <w:r w:rsidRPr="00376F51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млрд</w:t>
            </w:r>
            <w:proofErr w:type="gramEnd"/>
            <w:r w:rsidRPr="00376F51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пасс.-км.</w:t>
            </w:r>
          </w:p>
          <w:p w:rsidR="00A7733A" w:rsidRPr="00A7733A" w:rsidRDefault="00A7733A" w:rsidP="00217DA6">
            <w:pPr>
              <w:widowControl w:val="0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A7733A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Общая сумма начисленных к уплате налогов и страховых взносов за 2019 год, по данным, отраженным в бухгалтерской отчетности, составила 324 </w:t>
            </w:r>
            <w:proofErr w:type="gramStart"/>
            <w:r w:rsidRPr="00A7733A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млрд</w:t>
            </w:r>
            <w:proofErr w:type="gramEnd"/>
            <w:r w:rsidRPr="00A7733A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руб., или 102 % по отношению к 2018 году, в том числе:</w:t>
            </w:r>
          </w:p>
          <w:p w:rsidR="00A7733A" w:rsidRPr="00A7733A" w:rsidRDefault="00A7733A" w:rsidP="00217DA6">
            <w:pPr>
              <w:widowControl w:val="0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7733A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в федеральный бюджет - 34,4 </w:t>
            </w:r>
            <w:proofErr w:type="gramStart"/>
            <w:r w:rsidRPr="00A7733A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млрд</w:t>
            </w:r>
            <w:proofErr w:type="gramEnd"/>
            <w:r w:rsidRPr="00A7733A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руб. или 87,4 % по отношению к 2018 году;</w:t>
            </w:r>
          </w:p>
          <w:p w:rsidR="00A7733A" w:rsidRPr="00A7733A" w:rsidRDefault="00A7733A" w:rsidP="00217DA6">
            <w:pPr>
              <w:widowControl w:val="0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7733A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в региональные и местные бюджеты - 135,2 </w:t>
            </w:r>
            <w:proofErr w:type="gramStart"/>
            <w:r w:rsidRPr="00A7733A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млрд</w:t>
            </w:r>
            <w:proofErr w:type="gramEnd"/>
            <w:r w:rsidRPr="00A7733A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руб., или 102,7 % по отношению к 2018 году;</w:t>
            </w:r>
          </w:p>
          <w:p w:rsidR="009215DB" w:rsidRDefault="00A7733A" w:rsidP="00217DA6">
            <w:pPr>
              <w:widowControl w:val="0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7733A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во внебюджетные фонды - 154,4 </w:t>
            </w:r>
            <w:proofErr w:type="gramStart"/>
            <w:r w:rsidRPr="00A7733A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млрд</w:t>
            </w:r>
            <w:proofErr w:type="gramEnd"/>
            <w:r w:rsidRPr="00A7733A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руб., или 105,3 % по отношению к 2018 году.</w:t>
            </w:r>
          </w:p>
          <w:p w:rsidR="00217DA6" w:rsidRDefault="00217DA6" w:rsidP="00217DA6">
            <w:pPr>
              <w:widowControl w:val="0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217DA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В соответствии с обязательствами Коллективного договора в 2019 году </w:t>
            </w:r>
            <w:proofErr w:type="gramStart"/>
            <w:r w:rsidRPr="00217DA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заработная</w:t>
            </w:r>
            <w:proofErr w:type="gramEnd"/>
            <w:r w:rsidRPr="00217DA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плата работников ОАО «РЖД» проиндексирована на 6% (с марта на 2,9%, с июля - на 2%, с октября - на 1%). Заработная плата работников компании, занятых во всех видах деятельности, за 2019 год составила 58,5 тыс. рублей с ростом к уровню 2018 года на 6,5%. Реальная заработная плата возросла на 1,9%</w:t>
            </w:r>
          </w:p>
        </w:tc>
      </w:tr>
      <w:tr w:rsidR="009215DB" w:rsidTr="00217DA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DB" w:rsidRDefault="009215DB" w:rsidP="009215DB">
            <w:pPr>
              <w:widowControl w:val="0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Партнерство в интересах устойчивого развития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DB" w:rsidRDefault="00376F51" w:rsidP="009215DB">
            <w:pPr>
              <w:widowControl w:val="0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376F51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В области перевозочной и логистической деятельности реализованы инициативы, направленные на повышение транзитного потенциала России и создание эффективных транспортных маршрутов в евро-азиатском сообщении.</w:t>
            </w:r>
          </w:p>
          <w:p w:rsidR="00376F51" w:rsidRDefault="00376F51" w:rsidP="00376F51">
            <w:pPr>
              <w:widowControl w:val="0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376F51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В рамках участия в деятельности профильных международных организаций продолжена работа по формированию нормативно-</w:t>
            </w:r>
            <w:r w:rsidRPr="00376F51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lastRenderedPageBreak/>
              <w:t>правовой основы для привлечения дополнительных грузопотоков и увеличения объемов транзита по сети «РЖД». На площадке Шанхайской организации сотрудничества продолжена работа по развитию механизма регулярных встреч глав железнодорожных администраций стран – членов организации.</w:t>
            </w:r>
          </w:p>
          <w:p w:rsidR="00376F51" w:rsidRDefault="00376F51" w:rsidP="00376F51">
            <w:pPr>
              <w:widowControl w:val="0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376F51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Взаимодействие с национальными и международными общественными организациями в части реализации целей устойчивого развития ООН, участие в совместных мероприятиях, рассмотрение инициатив, в том числе в части федерального законодательства в области социально-трудовых отношений Взаимодействие с отраслевыми профсоюзами в части обеспечения социальной защиты работников и неработающих пенсионеров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DB" w:rsidRDefault="00376F51" w:rsidP="00376F51">
            <w:pPr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376F51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lastRenderedPageBreak/>
              <w:t>Увеличены доходы от транзитных контейнерных перевозок и международной логистики по сравнению с 2018 годом.</w:t>
            </w:r>
            <w:r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76F51" w:rsidRPr="00376F51" w:rsidRDefault="00376F51" w:rsidP="00376F51">
            <w:pPr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376F51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Расширен портфель зарубежных проектов - подписаны два контракта в Сербии и на </w:t>
            </w:r>
            <w:r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К</w:t>
            </w:r>
            <w:r w:rsidRPr="00376F51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убе</w:t>
            </w:r>
          </w:p>
          <w:p w:rsidR="00376F51" w:rsidRDefault="00376F51" w:rsidP="00376F51">
            <w:pPr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9215DB" w:rsidTr="00217DA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DB" w:rsidRDefault="009215DB" w:rsidP="00217DA6">
            <w:pPr>
              <w:widowControl w:val="0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lastRenderedPageBreak/>
              <w:t>Хорошее здоровье и благополучие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DB" w:rsidRPr="00217DA6" w:rsidRDefault="009215DB" w:rsidP="00217DA6">
            <w:pPr>
              <w:widowControl w:val="0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217DA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«ЦЕЛЕВАЯ КОМПЛЕКСНАЯ ПРОГРАММА по снижению заболеваемости и предотвращению смертности от болезней системы кровообращения и раннему выявлению онкологических заболеваний у работников ОАО «РЖД» на период 2019-2023 гг.</w:t>
            </w:r>
          </w:p>
          <w:p w:rsidR="009215DB" w:rsidRPr="00217DA6" w:rsidRDefault="009215DB" w:rsidP="00217DA6">
            <w:pPr>
              <w:widowControl w:val="0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217DA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В 2019 году с целью </w:t>
            </w:r>
            <w:proofErr w:type="gramStart"/>
            <w:r w:rsidRPr="00217DA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повышения качества медицинского обеспечения безопасности движения поездов</w:t>
            </w:r>
            <w:proofErr w:type="gramEnd"/>
            <w:r w:rsidRPr="00217DA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и производственной медицины на базе ЧУЗ сети «РЖД-Медицина» начали создаваться Центры профессиональной патологии, занимающиеся вопросами экспертизы профессиональной пригодности, экспертизы связи заболевания с профессией, разработки и совершенствования методов профилактики, диагностики и лечения </w:t>
            </w:r>
            <w:r w:rsidRPr="00217DA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lastRenderedPageBreak/>
              <w:t>профессиональных заболеваний, научно</w:t>
            </w:r>
            <w:r w:rsidRPr="00217DA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  <w:r w:rsidRPr="00217DA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методической работой. На настоящий момент функционируют 18 Центров профессиональной патологии.</w:t>
            </w:r>
          </w:p>
          <w:p w:rsidR="00376F51" w:rsidRPr="00376F51" w:rsidRDefault="00376F51" w:rsidP="00217DA6">
            <w:pPr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376F51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санаторно-курортное оздоровление</w:t>
            </w:r>
          </w:p>
          <w:p w:rsidR="00376F51" w:rsidRPr="00376F51" w:rsidRDefault="00376F51" w:rsidP="00217DA6">
            <w:pPr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376F51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диспансеризация</w:t>
            </w:r>
          </w:p>
          <w:p w:rsidR="00376F51" w:rsidRPr="00376F51" w:rsidRDefault="00376F51" w:rsidP="00217DA6">
            <w:pPr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376F51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вакцинопрофилактика</w:t>
            </w:r>
          </w:p>
          <w:p w:rsidR="00376F51" w:rsidRPr="00376F51" w:rsidRDefault="00376F51" w:rsidP="00217DA6">
            <w:pPr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376F51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частичная компенсация расходов работников на занятие спортом</w:t>
            </w:r>
          </w:p>
          <w:p w:rsidR="00376F51" w:rsidRPr="00376F51" w:rsidRDefault="00376F51" w:rsidP="00217DA6">
            <w:pPr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376F51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проведение корпоративных спартакиад и обособленных турниров</w:t>
            </w:r>
          </w:p>
          <w:p w:rsidR="00376F51" w:rsidRDefault="00376F51" w:rsidP="00217DA6">
            <w:pPr>
              <w:widowControl w:val="0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DB" w:rsidRDefault="009215DB" w:rsidP="00217DA6">
            <w:pPr>
              <w:widowControl w:val="0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9215DB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lastRenderedPageBreak/>
              <w:t>Уровень профессиональной заболеваемости (на 10000 работников) в 2019 году в сравнении с 2017 и 2018 годами снизился: 2017 г. – 0,7; 2018 г. – 0,7; 2019 г. – 0,4.</w:t>
            </w:r>
          </w:p>
          <w:p w:rsidR="00217DA6" w:rsidRDefault="00217DA6" w:rsidP="00217DA6">
            <w:pPr>
              <w:widowControl w:val="0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217DA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ДИСПАНСЕРИЗАЦИЯ</w:t>
            </w:r>
            <w:proofErr w:type="gramStart"/>
            <w:r w:rsidRPr="00217DA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217DA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сего прошли диспансеризацию более 686,7 тыс. работников ОАО «РЖД», охват диспансеризацией составил 99,3%. По результатам диспансеризации </w:t>
            </w:r>
          </w:p>
          <w:p w:rsidR="00217DA6" w:rsidRDefault="00217DA6" w:rsidP="00217DA6">
            <w:pPr>
              <w:widowControl w:val="0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217DA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• 1 группа состояния здоровья составила 31,5% (в 2018 год – 31,5%); • 2 группа– 30,7% (2018 год – 30,4%); </w:t>
            </w:r>
          </w:p>
          <w:p w:rsidR="00217DA6" w:rsidRDefault="00217DA6" w:rsidP="00217DA6">
            <w:pPr>
              <w:widowControl w:val="0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217DA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• 3 группа– 37,1% (в 2018 год – 38,1%)</w:t>
            </w:r>
          </w:p>
        </w:tc>
      </w:tr>
      <w:tr w:rsidR="009215DB" w:rsidTr="00217DA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DB" w:rsidRDefault="009215DB" w:rsidP="009215DB">
            <w:pPr>
              <w:widowControl w:val="0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lastRenderedPageBreak/>
              <w:t>Качественное образование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A6" w:rsidRDefault="00A7733A" w:rsidP="00217DA6">
            <w:pPr>
              <w:widowControl w:val="0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217DA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• организована стажировка для студентов </w:t>
            </w:r>
            <w:proofErr w:type="spellStart"/>
            <w:r w:rsidRPr="00217DA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нежелезнодорожных</w:t>
            </w:r>
            <w:proofErr w:type="spellEnd"/>
            <w:r w:rsidRPr="00217DA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вузов «</w:t>
            </w:r>
            <w:proofErr w:type="spellStart"/>
            <w:r w:rsidRPr="00217DA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RZD.Generation</w:t>
            </w:r>
            <w:proofErr w:type="spellEnd"/>
            <w:r w:rsidRPr="00217DA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  <w:p w:rsidR="00217DA6" w:rsidRDefault="00A7733A" w:rsidP="00217DA6">
            <w:pPr>
              <w:widowControl w:val="0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217DA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• учебными центрами профессиональных квалификаций получена лицензия на обучение по программам дополнительного профессионального образования; </w:t>
            </w:r>
          </w:p>
          <w:p w:rsidR="009215DB" w:rsidRPr="00217DA6" w:rsidRDefault="00A7733A" w:rsidP="00217DA6">
            <w:pPr>
              <w:widowControl w:val="0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217DA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• Корпоративный университет получил сертификат </w:t>
            </w:r>
            <w:proofErr w:type="gramStart"/>
            <w:r w:rsidRPr="00217DA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Всемирной</w:t>
            </w:r>
            <w:proofErr w:type="gramEnd"/>
            <w:r w:rsidRPr="00217DA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организации </w:t>
            </w:r>
            <w:r w:rsidRPr="00217DA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корпоративных университетов</w:t>
            </w:r>
          </w:p>
          <w:p w:rsidR="00A7733A" w:rsidRPr="00217DA6" w:rsidRDefault="00A7733A" w:rsidP="00217DA6">
            <w:pPr>
              <w:widowControl w:val="0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217DA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Корпоративный университет РЖД реализует программы профессиональной переподготовки и повышения квалификации, направленные на развитие корпоративных и профессиональных компетенций руководителей</w:t>
            </w:r>
          </w:p>
          <w:p w:rsidR="00217DA6" w:rsidRDefault="00217DA6" w:rsidP="00217DA6">
            <w:pPr>
              <w:widowControl w:val="0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217DA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Основа корпоративной системы профессионального обучения – 15 учебных центров профессиональных с 66 подразделениями в их составе, которые расположены от Калининграда до Сахалина.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DB" w:rsidRPr="00217DA6" w:rsidRDefault="00A7733A" w:rsidP="00217DA6">
            <w:pPr>
              <w:widowControl w:val="0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217DA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2019 году во взаимодействии с отраслевыми высшими учебными заведениями продолжалась подготовка специалистов с высшим и средним профессиональным образованием. </w:t>
            </w:r>
            <w:proofErr w:type="gramStart"/>
            <w:r w:rsidRPr="00217DA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На конец</w:t>
            </w:r>
            <w:proofErr w:type="gramEnd"/>
            <w:r w:rsidRPr="00217DA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2019 года по заказу ОАО «РЖД» в университетских комплексах железнодорожного транспорта обучались свыше 31 тыс. студентов. В 2019 году </w:t>
            </w:r>
            <w:proofErr w:type="gramStart"/>
            <w:r w:rsidRPr="00217DA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учреждены</w:t>
            </w:r>
            <w:proofErr w:type="gramEnd"/>
            <w:r w:rsidRPr="00217DA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88 новых стипендий для наиболее успешных студентов отраслевых вузов, в том числе 10 стипендий имени </w:t>
            </w:r>
            <w:proofErr w:type="spellStart"/>
            <w:r w:rsidRPr="00217DA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Г.М.Фадеева</w:t>
            </w:r>
            <w:proofErr w:type="spellEnd"/>
            <w:r w:rsidRPr="00217DA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и 78 стипендий имен выдающихся работников железнодорожного транспорта. Учреждение вышеуказанных стипендий позволят повысить академическую и творческую активность студентов отраслевых вузов.</w:t>
            </w:r>
          </w:p>
          <w:p w:rsidR="00217DA6" w:rsidRPr="00217DA6" w:rsidRDefault="00217DA6" w:rsidP="00217DA6">
            <w:pPr>
              <w:widowControl w:val="0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217DA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В 2019 году в университете прошли обучение более 86 тысяч слушателей, реализовано более 150 образовательных программ различных категорий: программы развития кадрового резерва, специализированные программы, программы по оценке компетенций руководителей, программы для молодых работников Холдинга, обязательные программы (охрана труда, экологическая безопасность и т.п.).</w:t>
            </w:r>
          </w:p>
          <w:p w:rsidR="00217DA6" w:rsidRDefault="00217DA6" w:rsidP="00217DA6">
            <w:pPr>
              <w:widowControl w:val="0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217DA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Итоги 2019 года: более 51,5 тыс. </w:t>
            </w:r>
            <w:r w:rsidRPr="00217DA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рабочих ведущих профессий, в т.ч.: 32,7 тыс. обучено на профессию впервые, 6,1 тыс. человек обучено в порядке переподготовки, 12,7 тыс. человек </w:t>
            </w:r>
            <w:r w:rsidRPr="00217DA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lastRenderedPageBreak/>
              <w:t>обучено на вторую профессию; более 175,8 тыс. человек повысили квалификацию на курсах в учебных центрах, техникумах и колледжах.</w:t>
            </w:r>
          </w:p>
        </w:tc>
      </w:tr>
      <w:tr w:rsidR="009215DB" w:rsidTr="00217DA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DB" w:rsidRDefault="009215DB" w:rsidP="009215DB">
            <w:pPr>
              <w:widowControl w:val="0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lastRenderedPageBreak/>
              <w:t>Ответственное потребление и производство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3A" w:rsidRPr="00A7733A" w:rsidRDefault="00A7733A" w:rsidP="00A7733A">
            <w:pPr>
              <w:widowControl w:val="0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bookmarkStart w:id="0" w:name="bookmark0"/>
            <w:r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Главная цель РЖД</w:t>
            </w:r>
            <w:r w:rsidRPr="00A7733A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в сфере экологии - забота об экологической безопасности и здоровье людей.</w:t>
            </w:r>
            <w:bookmarkEnd w:id="0"/>
          </w:p>
          <w:p w:rsidR="009215DB" w:rsidRDefault="00A7733A" w:rsidP="00A7733A">
            <w:pPr>
              <w:widowControl w:val="0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A7733A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С учетом приоритетов государственной политики в сфере охраны окружающей среды основная цель ОАО «РЖД» в области природоохранной деятельности - повышение уровня экологической безопасности, рационального природопользования и сохранения природных систем.</w:t>
            </w:r>
          </w:p>
          <w:p w:rsidR="00A7733A" w:rsidRDefault="00A7733A" w:rsidP="00A7733A">
            <w:pPr>
              <w:widowControl w:val="0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A7733A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ОАО «РЖД» является экологически ответственной компанией, способствует развитию природоохранной деятельности, применяет механизмы добровольной экологической ответственности.</w:t>
            </w:r>
          </w:p>
          <w:p w:rsidR="00A7733A" w:rsidRDefault="00A7733A" w:rsidP="00A7733A">
            <w:pPr>
              <w:widowControl w:val="0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A7733A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Снижение воздействия на окружающую среду достигнуто за счет следующих важнейших направлений в деятельности ОАО «РЖД»: </w:t>
            </w:r>
          </w:p>
          <w:p w:rsidR="00A7733A" w:rsidRDefault="00A7733A" w:rsidP="00A7733A">
            <w:pPr>
              <w:widowControl w:val="0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  <w:r w:rsidRPr="00A7733A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внедрение инновационных технологий, обеспечивающих охрану атмосферного воздуха, водных ресурсов, повышение использования и обезвреживания отходов производства, снижение выбросов парниковых газов, шумового воздействия;</w:t>
            </w:r>
          </w:p>
          <w:p w:rsidR="00A7733A" w:rsidRDefault="00A7733A" w:rsidP="00A7733A">
            <w:pPr>
              <w:widowControl w:val="0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  <w:r w:rsidRPr="00A7733A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совершенствование системы управления природоохранной деятельностью; </w:t>
            </w:r>
          </w:p>
          <w:p w:rsidR="00A7733A" w:rsidRDefault="00A7733A" w:rsidP="00A7733A">
            <w:pPr>
              <w:widowControl w:val="0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7733A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spellStart"/>
            <w:r w:rsidRPr="00A7733A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экомониторинга</w:t>
            </w:r>
            <w:proofErr w:type="spellEnd"/>
            <w:r w:rsidRPr="00A7733A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за воздействием на окружающую среду</w:t>
            </w:r>
          </w:p>
          <w:p w:rsidR="00A7733A" w:rsidRDefault="00A7733A" w:rsidP="00A7733A">
            <w:pPr>
              <w:widowControl w:val="0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A7733A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ОАО «РЖД» разработана долгосрочная программа по приведению 144 очистных сооружений к нормативным требованиям со сроком реализации до 2025 года, что позволит полностью исключить </w:t>
            </w:r>
            <w:r w:rsidRPr="00A7733A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lastRenderedPageBreak/>
              <w:t>сброс недостаточно-очищенных сточных вод в окружающую среду и централизованные сети водоотведения.</w:t>
            </w:r>
          </w:p>
          <w:p w:rsidR="00A7733A" w:rsidRDefault="00217DA6" w:rsidP="00217DA6">
            <w:pPr>
              <w:widowControl w:val="0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П</w:t>
            </w:r>
            <w:r w:rsidRPr="00217DA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рограмма организационно-технических мероприятий на</w:t>
            </w:r>
            <w:r w:rsidR="00A7733A" w:rsidRPr="00217DA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2020-2025 годы, которая обеспечит предусмотренное ДПР задание по снижению удельного уровня выбросов парниковых газов по отношению к 2018 году не менее чем 4,5 % (по итогам 2019 года данный показатель был снижен на 1%)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DB" w:rsidRPr="00217DA6" w:rsidRDefault="00217DA6" w:rsidP="009215DB">
            <w:pPr>
              <w:widowControl w:val="0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217DA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lastRenderedPageBreak/>
              <w:t xml:space="preserve">Выбросы вредных веществ в атмосферный воздух от стационарных источников в 2019 году снизились на 8,8% к уровню 2018 года. </w:t>
            </w:r>
          </w:p>
          <w:p w:rsidR="00A7733A" w:rsidRPr="00217DA6" w:rsidRDefault="00217DA6" w:rsidP="009215DB">
            <w:pPr>
              <w:widowControl w:val="0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217DA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По результатам работы за 2019 год достигнуто снижение сброса недостаточно-очищенных сточных вод в поверхностные водные объекты и на рельеф местности на 10%.</w:t>
            </w:r>
          </w:p>
          <w:p w:rsidR="00A7733A" w:rsidRPr="00217DA6" w:rsidRDefault="00217DA6" w:rsidP="009215DB">
            <w:pPr>
              <w:widowControl w:val="0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217DA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За 2019 г. Переработано 367 т отходов и изготовлено 10,8 тыс. Кв. М продукции. Также в 2019 году передано на утилизацию 1545,1 т бумаги, пластика и стекла. Доля обезвреживания и вовлечения отходов в хозяйственный оборот в структурных подразделениях компании составила в 2019 году 82,9 %, что позволило в рамках установленного ДПР показателя достигнуть 1,2% (к уровню 2018 года).</w:t>
            </w:r>
          </w:p>
          <w:p w:rsidR="00217DA6" w:rsidRDefault="00217DA6" w:rsidP="009215DB">
            <w:pPr>
              <w:widowControl w:val="0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217DA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В рамках экологической стратегии ОАО «РЖД» в целях сохранения биоразнообразия в 2019 году работники компании: </w:t>
            </w:r>
          </w:p>
          <w:p w:rsidR="00217DA6" w:rsidRDefault="00217DA6" w:rsidP="009215DB">
            <w:pPr>
              <w:widowControl w:val="0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  <w:r w:rsidRPr="00217DA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выпустили молодь рыбы в реки – более 2000 кг;</w:t>
            </w:r>
          </w:p>
          <w:p w:rsidR="00217DA6" w:rsidRDefault="00217DA6" w:rsidP="009215DB">
            <w:pPr>
              <w:widowControl w:val="0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  <w:r w:rsidRPr="00217DA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высадили деревья и кустарники — более 560 тыс. Шт.; </w:t>
            </w:r>
          </w:p>
          <w:p w:rsidR="00217DA6" w:rsidRDefault="00217DA6" w:rsidP="009215DB">
            <w:pPr>
              <w:widowControl w:val="0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  <w:r w:rsidRPr="00217DA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высадили более 10 тыс. Семян в теплицах питомника в рамках реализации программы «лес </w:t>
            </w:r>
            <w:proofErr w:type="spellStart"/>
            <w:r w:rsidRPr="00217DA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байкала</w:t>
            </w:r>
            <w:proofErr w:type="spellEnd"/>
            <w:r w:rsidRPr="00217DA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».</w:t>
            </w:r>
          </w:p>
          <w:p w:rsidR="00217DA6" w:rsidRDefault="00217DA6" w:rsidP="009215DB">
            <w:pPr>
              <w:widowControl w:val="0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  <w:r w:rsidRPr="00217DA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приняли участие в уборке территорий в рамках акций «зеленая весна», «зеленая пятница», «лес победы», «всероссийский экологический субботник зеленая </w:t>
            </w:r>
            <w:proofErr w:type="spellStart"/>
            <w:r w:rsidRPr="00217DA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россия</w:t>
            </w:r>
            <w:proofErr w:type="spellEnd"/>
            <w:r w:rsidRPr="00217DA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»; </w:t>
            </w:r>
          </w:p>
          <w:p w:rsidR="00217DA6" w:rsidRDefault="00217DA6" w:rsidP="009215DB">
            <w:pPr>
              <w:widowControl w:val="0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  <w:r w:rsidRPr="00217DA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запустили 51 экологический пригородный «зеленый поезд»; </w:t>
            </w:r>
          </w:p>
          <w:p w:rsidR="00A7733A" w:rsidRPr="00217DA6" w:rsidRDefault="00217DA6" w:rsidP="009215DB">
            <w:pPr>
              <w:widowControl w:val="0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  <w:r w:rsidRPr="00217DA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разместили более 3000 плакатов об особо охраняемых природных территориях на объектах инфраструктуры ОАО «РЖД».</w:t>
            </w:r>
          </w:p>
          <w:p w:rsidR="00A7733A" w:rsidRPr="00217DA6" w:rsidRDefault="00217DA6" w:rsidP="009215DB">
            <w:pPr>
              <w:widowControl w:val="0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217DA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Общий объем экономии </w:t>
            </w:r>
            <w:proofErr w:type="spellStart"/>
            <w:r w:rsidRPr="00217DA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топливноэнергетических</w:t>
            </w:r>
            <w:proofErr w:type="spellEnd"/>
            <w:r w:rsidRPr="00217DA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ресурсов от выполнения программы энергосбережения в 2019 году составил 3 446,3 </w:t>
            </w:r>
            <w:proofErr w:type="spellStart"/>
            <w:r w:rsidRPr="00217DA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тдж</w:t>
            </w:r>
            <w:proofErr w:type="spellEnd"/>
            <w:r w:rsidRPr="00217DA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на сумму 2,352 млрд.</w:t>
            </w:r>
            <w:r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руб</w:t>
            </w:r>
            <w:proofErr w:type="gramStart"/>
            <w:r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.</w:t>
            </w:r>
            <w:r w:rsidRPr="00217DA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  <w:p w:rsidR="00A7733A" w:rsidRDefault="00A7733A" w:rsidP="009215DB">
            <w:pPr>
              <w:widowControl w:val="0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215DB" w:rsidRDefault="009215DB" w:rsidP="009215DB">
      <w:pPr>
        <w:widowControl w:val="0"/>
        <w:rPr>
          <w:rFonts w:ascii="Calibri" w:eastAsia="Calibri" w:hAnsi="Calibri" w:cs="Times New Roman"/>
        </w:rPr>
      </w:pPr>
    </w:p>
    <w:p w:rsidR="00217DA6" w:rsidRDefault="00217DA6" w:rsidP="00217DA6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Toc438425694"/>
      <w:bookmarkStart w:id="2" w:name="_Toc443868951"/>
      <w:bookmarkStart w:id="3" w:name="_Toc450167136"/>
      <w:bookmarkStart w:id="4" w:name="_Toc4371298"/>
      <w:bookmarkStart w:id="5" w:name="_Toc8585024"/>
      <w:bookmarkStart w:id="6" w:name="_Toc28229736"/>
      <w:r w:rsidRPr="00217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отчете отсутствует информация, прямо указывающая на реализацию мероприятий, направленных на реализацию отдельных целей устойчивого развития ООН, таких как – ликвидация нищеты, устойчивые города и населенные пункты, ликвидация голода, уменьшение неравенства. </w:t>
      </w:r>
    </w:p>
    <w:p w:rsidR="00217DA6" w:rsidRDefault="00217DA6" w:rsidP="00217DA6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7DA6" w:rsidRPr="00217DA6" w:rsidRDefault="00217DA6" w:rsidP="00217DA6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9215DB" w:rsidRPr="00A45ACE" w:rsidRDefault="009215DB" w:rsidP="009215DB">
      <w:pPr>
        <w:pStyle w:val="1"/>
        <w:widowControl w:val="0"/>
        <w:spacing w:line="360" w:lineRule="auto"/>
        <w:ind w:firstLine="720"/>
        <w:jc w:val="center"/>
        <w:rPr>
          <w:sz w:val="28"/>
        </w:rPr>
      </w:pPr>
      <w:r w:rsidRPr="00A45ACE">
        <w:rPr>
          <w:sz w:val="28"/>
        </w:rPr>
        <w:lastRenderedPageBreak/>
        <w:t>Список литературы</w:t>
      </w:r>
      <w:bookmarkEnd w:id="1"/>
      <w:bookmarkEnd w:id="2"/>
      <w:bookmarkEnd w:id="3"/>
      <w:bookmarkEnd w:id="4"/>
      <w:bookmarkEnd w:id="5"/>
      <w:bookmarkEnd w:id="6"/>
    </w:p>
    <w:p w:rsidR="009215DB" w:rsidRPr="00A45ACE" w:rsidRDefault="009215DB" w:rsidP="009215DB">
      <w:pPr>
        <w:widowControl w:val="0"/>
        <w:numPr>
          <w:ilvl w:val="0"/>
          <w:numId w:val="1"/>
        </w:numPr>
        <w:tabs>
          <w:tab w:val="clear" w:pos="1440"/>
          <w:tab w:val="num" w:pos="0"/>
          <w:tab w:val="num" w:pos="142"/>
          <w:tab w:val="left" w:pos="567"/>
          <w:tab w:val="left" w:pos="851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5ACE">
        <w:rPr>
          <w:rFonts w:ascii="Times New Roman" w:eastAsia="Times New Roman" w:hAnsi="Times New Roman"/>
          <w:sz w:val="28"/>
          <w:szCs w:val="28"/>
          <w:lang w:eastAsia="ru-RU"/>
        </w:rPr>
        <w:t>Распоряжение Правительства РФ от 05.05.2017 N 876-р</w:t>
      </w:r>
      <w:proofErr w:type="gramStart"/>
      <w:r w:rsidRPr="00A45ACE">
        <w:rPr>
          <w:rFonts w:ascii="Times New Roman" w:eastAsia="Times New Roman" w:hAnsi="Times New Roman"/>
          <w:sz w:val="28"/>
          <w:szCs w:val="28"/>
          <w:lang w:eastAsia="ru-RU"/>
        </w:rPr>
        <w:t xml:space="preserve"> О</w:t>
      </w:r>
      <w:proofErr w:type="gramEnd"/>
      <w:r w:rsidRPr="00A45ACE">
        <w:rPr>
          <w:rFonts w:ascii="Times New Roman" w:eastAsia="Times New Roman" w:hAnsi="Times New Roman"/>
          <w:sz w:val="28"/>
          <w:szCs w:val="28"/>
          <w:lang w:eastAsia="ru-RU"/>
        </w:rPr>
        <w:t xml:space="preserve">б утверждении Концепции развития публичной нефинансовой отчетности и плана мероприятий по ее реализации. </w:t>
      </w:r>
      <w:r w:rsidRPr="00A45ACE">
        <w:rPr>
          <w:rFonts w:ascii="Times New Roman" w:eastAsia="Times New Roman" w:hAnsi="Times New Roman"/>
          <w:sz w:val="28"/>
          <w:szCs w:val="28"/>
          <w:lang w:val="en-US" w:eastAsia="ru-RU"/>
        </w:rPr>
        <w:t>[</w:t>
      </w:r>
      <w:r w:rsidRPr="00A45ACE">
        <w:rPr>
          <w:rFonts w:ascii="Times New Roman" w:eastAsia="Times New Roman" w:hAnsi="Times New Roman"/>
          <w:sz w:val="28"/>
          <w:szCs w:val="28"/>
          <w:lang w:eastAsia="ru-RU"/>
        </w:rPr>
        <w:t>Электронный ресурс</w:t>
      </w:r>
      <w:r w:rsidRPr="00A45ACE">
        <w:rPr>
          <w:rFonts w:ascii="Times New Roman" w:eastAsia="Times New Roman" w:hAnsi="Times New Roman"/>
          <w:sz w:val="28"/>
          <w:szCs w:val="28"/>
          <w:lang w:val="en-US" w:eastAsia="ru-RU"/>
        </w:rPr>
        <w:t>]</w:t>
      </w:r>
      <w:r w:rsidRPr="00A45ACE">
        <w:rPr>
          <w:rFonts w:ascii="Times New Roman" w:eastAsia="Times New Roman" w:hAnsi="Times New Roman"/>
          <w:sz w:val="28"/>
          <w:szCs w:val="28"/>
          <w:lang w:eastAsia="ru-RU"/>
        </w:rPr>
        <w:t xml:space="preserve">. - Режим доступа: </w:t>
      </w:r>
      <w:hyperlink r:id="rId7" w:history="1">
        <w:r w:rsidRPr="00A45ACE">
          <w:rPr>
            <w:rFonts w:ascii="Times New Roman" w:eastAsia="Times New Roman" w:hAnsi="Times New Roman"/>
            <w:sz w:val="28"/>
            <w:szCs w:val="28"/>
            <w:lang w:eastAsia="ru-RU"/>
          </w:rPr>
          <w:t>http://www.consultant.ru/document/cons_doc_LAW_216631/</w:t>
        </w:r>
      </w:hyperlink>
    </w:p>
    <w:p w:rsidR="009215DB" w:rsidRPr="00A45ACE" w:rsidRDefault="009215DB" w:rsidP="009215DB">
      <w:pPr>
        <w:widowControl w:val="0"/>
        <w:numPr>
          <w:ilvl w:val="0"/>
          <w:numId w:val="1"/>
        </w:numPr>
        <w:tabs>
          <w:tab w:val="clear" w:pos="1440"/>
          <w:tab w:val="num" w:pos="0"/>
          <w:tab w:val="num" w:pos="142"/>
          <w:tab w:val="left" w:pos="567"/>
          <w:tab w:val="left" w:pos="851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5ACE">
        <w:rPr>
          <w:rFonts w:ascii="Times New Roman" w:eastAsia="Times New Roman" w:hAnsi="Times New Roman"/>
          <w:sz w:val="28"/>
          <w:szCs w:val="28"/>
          <w:lang w:eastAsia="ru-RU"/>
        </w:rPr>
        <w:t xml:space="preserve">ГОСТ </w:t>
      </w:r>
      <w:proofErr w:type="gramStart"/>
      <w:r w:rsidRPr="00A45ACE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proofErr w:type="gramEnd"/>
      <w:r w:rsidRPr="00A45ACE">
        <w:rPr>
          <w:rFonts w:ascii="Times New Roman" w:eastAsia="Times New Roman" w:hAnsi="Times New Roman"/>
          <w:sz w:val="28"/>
          <w:szCs w:val="28"/>
          <w:lang w:eastAsia="ru-RU"/>
        </w:rPr>
        <w:t xml:space="preserve"> ИСО 26000-2012. Руководство по социальной ответственности </w:t>
      </w:r>
      <w:r w:rsidRPr="00A45ACE">
        <w:rPr>
          <w:rFonts w:ascii="Times New Roman" w:eastAsia="Times New Roman" w:hAnsi="Times New Roman"/>
          <w:sz w:val="28"/>
          <w:szCs w:val="28"/>
          <w:lang w:val="en-US" w:eastAsia="ru-RU"/>
        </w:rPr>
        <w:t>[</w:t>
      </w:r>
      <w:r w:rsidRPr="00A45ACE">
        <w:rPr>
          <w:rFonts w:ascii="Times New Roman" w:eastAsia="Times New Roman" w:hAnsi="Times New Roman"/>
          <w:sz w:val="28"/>
          <w:szCs w:val="28"/>
          <w:lang w:eastAsia="ru-RU"/>
        </w:rPr>
        <w:t>Электронный ресурс</w:t>
      </w:r>
      <w:r w:rsidRPr="00A45ACE">
        <w:rPr>
          <w:rFonts w:ascii="Times New Roman" w:eastAsia="Times New Roman" w:hAnsi="Times New Roman"/>
          <w:sz w:val="28"/>
          <w:szCs w:val="28"/>
          <w:lang w:val="en-US" w:eastAsia="ru-RU"/>
        </w:rPr>
        <w:t>]</w:t>
      </w:r>
      <w:r w:rsidRPr="00A45ACE">
        <w:rPr>
          <w:rFonts w:ascii="Times New Roman" w:eastAsia="Times New Roman" w:hAnsi="Times New Roman"/>
          <w:sz w:val="28"/>
          <w:szCs w:val="28"/>
          <w:lang w:eastAsia="ru-RU"/>
        </w:rPr>
        <w:t xml:space="preserve">. - Режим доступа: </w:t>
      </w:r>
      <w:hyperlink r:id="rId8" w:history="1">
        <w:r w:rsidRPr="00A45ACE">
          <w:rPr>
            <w:rFonts w:ascii="Times New Roman" w:eastAsia="Times New Roman" w:hAnsi="Times New Roman"/>
            <w:sz w:val="28"/>
            <w:szCs w:val="28"/>
            <w:lang w:eastAsia="ru-RU"/>
          </w:rPr>
          <w:t>http://docs.cntd.ru/document/gost-r-iso-26000-2012</w:t>
        </w:r>
      </w:hyperlink>
    </w:p>
    <w:p w:rsidR="009215DB" w:rsidRPr="00A45ACE" w:rsidRDefault="009215DB" w:rsidP="009215DB">
      <w:pPr>
        <w:widowControl w:val="0"/>
        <w:numPr>
          <w:ilvl w:val="0"/>
          <w:numId w:val="1"/>
        </w:numPr>
        <w:tabs>
          <w:tab w:val="clear" w:pos="1440"/>
          <w:tab w:val="num" w:pos="0"/>
          <w:tab w:val="num" w:pos="142"/>
          <w:tab w:val="left" w:pos="567"/>
          <w:tab w:val="left" w:pos="851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5ACE">
        <w:rPr>
          <w:rFonts w:ascii="Times New Roman" w:eastAsia="Times New Roman" w:hAnsi="Times New Roman"/>
          <w:sz w:val="28"/>
          <w:szCs w:val="28"/>
          <w:lang w:eastAsia="ru-RU"/>
        </w:rPr>
        <w:t xml:space="preserve">Авилова М. Г. Корпоративная социальная ответственность в России: тенденции, проблемы, решения // Научно-методический электронный журнал «Концепт». 2016. Т. 34. С. 1–5. </w:t>
      </w:r>
    </w:p>
    <w:p w:rsidR="009215DB" w:rsidRPr="00A45ACE" w:rsidRDefault="009215DB" w:rsidP="009215DB">
      <w:pPr>
        <w:widowControl w:val="0"/>
        <w:numPr>
          <w:ilvl w:val="0"/>
          <w:numId w:val="1"/>
        </w:numPr>
        <w:tabs>
          <w:tab w:val="clear" w:pos="1440"/>
          <w:tab w:val="num" w:pos="0"/>
          <w:tab w:val="num" w:pos="142"/>
          <w:tab w:val="left" w:pos="567"/>
          <w:tab w:val="left" w:pos="851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5ACE">
        <w:rPr>
          <w:rFonts w:ascii="Times New Roman" w:eastAsia="Times New Roman" w:hAnsi="Times New Roman"/>
          <w:sz w:val="28"/>
          <w:szCs w:val="28"/>
          <w:lang w:eastAsia="ru-RU"/>
        </w:rPr>
        <w:t>Годовой отчет ПАО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Газпром</w:t>
      </w:r>
      <w:r w:rsidRPr="00A45ACE">
        <w:rPr>
          <w:rFonts w:ascii="Times New Roman" w:eastAsia="Times New Roman" w:hAnsi="Times New Roman"/>
          <w:sz w:val="28"/>
          <w:szCs w:val="28"/>
          <w:lang w:eastAsia="ru-RU"/>
        </w:rPr>
        <w:t>» за 2018 год [Электронный ресурс]. - Режим доступа: https://www.gazprom.ru/nature/environmental-reports/</w:t>
      </w:r>
    </w:p>
    <w:p w:rsidR="009215DB" w:rsidRPr="00A45ACE" w:rsidRDefault="009215DB" w:rsidP="009215DB">
      <w:pPr>
        <w:widowControl w:val="0"/>
        <w:numPr>
          <w:ilvl w:val="0"/>
          <w:numId w:val="1"/>
        </w:numPr>
        <w:tabs>
          <w:tab w:val="clear" w:pos="1440"/>
          <w:tab w:val="num" w:pos="0"/>
          <w:tab w:val="num" w:pos="142"/>
          <w:tab w:val="left" w:pos="567"/>
          <w:tab w:val="left" w:pos="851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A45ACE">
        <w:rPr>
          <w:rFonts w:ascii="Times New Roman" w:eastAsia="Times New Roman" w:hAnsi="Times New Roman"/>
          <w:sz w:val="28"/>
          <w:szCs w:val="28"/>
          <w:lang w:eastAsia="ru-RU"/>
        </w:rPr>
        <w:t>Дигилина</w:t>
      </w:r>
      <w:proofErr w:type="spellEnd"/>
      <w:r w:rsidRPr="00A45ACE">
        <w:rPr>
          <w:rFonts w:ascii="Times New Roman" w:eastAsia="Times New Roman" w:hAnsi="Times New Roman"/>
          <w:sz w:val="28"/>
          <w:szCs w:val="28"/>
          <w:lang w:eastAsia="ru-RU"/>
        </w:rPr>
        <w:t xml:space="preserve"> О.Б., </w:t>
      </w:r>
      <w:proofErr w:type="spellStart"/>
      <w:r w:rsidRPr="00A45ACE">
        <w:rPr>
          <w:rFonts w:ascii="Times New Roman" w:eastAsia="Times New Roman" w:hAnsi="Times New Roman"/>
          <w:sz w:val="28"/>
          <w:szCs w:val="28"/>
          <w:lang w:eastAsia="ru-RU"/>
        </w:rPr>
        <w:t>Староверова</w:t>
      </w:r>
      <w:proofErr w:type="spellEnd"/>
      <w:r w:rsidRPr="00A45ACE">
        <w:rPr>
          <w:rFonts w:ascii="Times New Roman" w:eastAsia="Times New Roman" w:hAnsi="Times New Roman"/>
          <w:sz w:val="28"/>
          <w:szCs w:val="28"/>
          <w:lang w:eastAsia="ru-RU"/>
        </w:rPr>
        <w:t xml:space="preserve"> Е.Н. Роль концепции устойчивого развития в обеспе</w:t>
      </w:r>
      <w:r w:rsidRPr="00A45ACE">
        <w:rPr>
          <w:rFonts w:ascii="Times New Roman" w:eastAsia="Times New Roman" w:hAnsi="Times New Roman"/>
          <w:sz w:val="28"/>
          <w:szCs w:val="28"/>
          <w:lang w:eastAsia="ru-RU"/>
        </w:rPr>
        <w:softHyphen/>
        <w:t>чении экономико-экологической безопасности социально-экономических систем. Актуальные проблемы устойчивого развития региона</w:t>
      </w:r>
      <w:proofErr w:type="gramStart"/>
      <w:r w:rsidRPr="00A45ACE">
        <w:rPr>
          <w:rFonts w:ascii="Times New Roman" w:eastAsia="Times New Roman" w:hAnsi="Times New Roman"/>
          <w:sz w:val="28"/>
          <w:szCs w:val="28"/>
          <w:lang w:eastAsia="ru-RU"/>
        </w:rPr>
        <w:t xml:space="preserve"> / П</w:t>
      </w:r>
      <w:proofErr w:type="gramEnd"/>
      <w:r w:rsidRPr="00A45ACE">
        <w:rPr>
          <w:rFonts w:ascii="Times New Roman" w:eastAsia="Times New Roman" w:hAnsi="Times New Roman"/>
          <w:sz w:val="28"/>
          <w:szCs w:val="28"/>
          <w:lang w:eastAsia="ru-RU"/>
        </w:rPr>
        <w:t xml:space="preserve">од ред. О.Б. </w:t>
      </w:r>
      <w:proofErr w:type="spellStart"/>
      <w:r w:rsidRPr="00A45ACE">
        <w:rPr>
          <w:rFonts w:ascii="Times New Roman" w:eastAsia="Times New Roman" w:hAnsi="Times New Roman"/>
          <w:sz w:val="28"/>
          <w:szCs w:val="28"/>
          <w:lang w:eastAsia="ru-RU"/>
        </w:rPr>
        <w:t>Дигилиной</w:t>
      </w:r>
      <w:proofErr w:type="spellEnd"/>
      <w:r w:rsidRPr="00A45ACE">
        <w:rPr>
          <w:rFonts w:ascii="Times New Roman" w:eastAsia="Times New Roman" w:hAnsi="Times New Roman"/>
          <w:sz w:val="28"/>
          <w:szCs w:val="28"/>
          <w:lang w:eastAsia="ru-RU"/>
        </w:rPr>
        <w:t xml:space="preserve">, Е.Н. </w:t>
      </w:r>
      <w:proofErr w:type="spellStart"/>
      <w:r w:rsidRPr="00A45ACE">
        <w:rPr>
          <w:rFonts w:ascii="Times New Roman" w:eastAsia="Times New Roman" w:hAnsi="Times New Roman"/>
          <w:sz w:val="28"/>
          <w:szCs w:val="28"/>
          <w:lang w:eastAsia="ru-RU"/>
        </w:rPr>
        <w:t>Староверовой</w:t>
      </w:r>
      <w:proofErr w:type="spellEnd"/>
      <w:r w:rsidRPr="00A45ACE">
        <w:rPr>
          <w:rFonts w:ascii="Times New Roman" w:eastAsia="Times New Roman" w:hAnsi="Times New Roman"/>
          <w:sz w:val="28"/>
          <w:szCs w:val="28"/>
          <w:lang w:eastAsia="ru-RU"/>
        </w:rPr>
        <w:t xml:space="preserve">. Владимир: Транзит-ИКС. 2014. </w:t>
      </w:r>
    </w:p>
    <w:p w:rsidR="009215DB" w:rsidRPr="00A45ACE" w:rsidRDefault="008E7F77" w:rsidP="008E7F77">
      <w:pPr>
        <w:widowControl w:val="0"/>
        <w:numPr>
          <w:ilvl w:val="0"/>
          <w:numId w:val="1"/>
        </w:numPr>
        <w:tabs>
          <w:tab w:val="clear" w:pos="1440"/>
          <w:tab w:val="num" w:pos="0"/>
          <w:tab w:val="num" w:pos="142"/>
          <w:tab w:val="left" w:pos="567"/>
          <w:tab w:val="left" w:pos="851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Социальная ответственность</w:t>
      </w:r>
      <w:bookmarkStart w:id="7" w:name="_GoBack"/>
      <w:bookmarkEnd w:id="7"/>
      <w:r w:rsidR="009215DB" w:rsidRPr="00A45ACE">
        <w:rPr>
          <w:rFonts w:ascii="Times New Roman" w:eastAsia="Times New Roman" w:hAnsi="Times New Roman"/>
          <w:sz w:val="28"/>
          <w:szCs w:val="28"/>
          <w:lang w:eastAsia="ru-RU"/>
        </w:rPr>
        <w:t xml:space="preserve">. Режим доступа: </w:t>
      </w:r>
      <w:r w:rsidRPr="008E7F77">
        <w:rPr>
          <w:rFonts w:ascii="Times New Roman" w:eastAsia="Times New Roman" w:hAnsi="Times New Roman"/>
          <w:sz w:val="28"/>
          <w:szCs w:val="28"/>
          <w:lang w:eastAsia="ru-RU"/>
        </w:rPr>
        <w:t>https://company.rzd.ru/ru/9386?redirected</w:t>
      </w:r>
    </w:p>
    <w:p w:rsidR="009215DB" w:rsidRPr="008E7F77" w:rsidRDefault="009215DB" w:rsidP="008E7F77">
      <w:pPr>
        <w:widowControl w:val="0"/>
        <w:numPr>
          <w:ilvl w:val="0"/>
          <w:numId w:val="1"/>
        </w:numPr>
        <w:tabs>
          <w:tab w:val="clear" w:pos="1440"/>
          <w:tab w:val="num" w:pos="0"/>
          <w:tab w:val="num" w:pos="142"/>
          <w:tab w:val="left" w:pos="567"/>
          <w:tab w:val="left" w:pos="851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0009" w:rsidRPr="008C11A7" w:rsidRDefault="00EC0009" w:rsidP="009215DB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5DB" w:rsidRPr="008C11A7" w:rsidRDefault="009215DB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215DB" w:rsidRPr="008C11A7" w:rsidSect="008C11A7">
      <w:pgSz w:w="11909" w:h="16834"/>
      <w:pgMar w:top="1134" w:right="567" w:bottom="1134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315B0"/>
    <w:multiLevelType w:val="hybridMultilevel"/>
    <w:tmpl w:val="5836738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009"/>
    <w:rsid w:val="00026B20"/>
    <w:rsid w:val="000329C9"/>
    <w:rsid w:val="000455A2"/>
    <w:rsid w:val="00053AA8"/>
    <w:rsid w:val="00082CA7"/>
    <w:rsid w:val="0008383D"/>
    <w:rsid w:val="0009396E"/>
    <w:rsid w:val="000A1F2B"/>
    <w:rsid w:val="000B0FCB"/>
    <w:rsid w:val="000B70C6"/>
    <w:rsid w:val="000C054E"/>
    <w:rsid w:val="000E2F6D"/>
    <w:rsid w:val="000E7E0C"/>
    <w:rsid w:val="00150185"/>
    <w:rsid w:val="00160CB1"/>
    <w:rsid w:val="00163746"/>
    <w:rsid w:val="001758F3"/>
    <w:rsid w:val="00176AF1"/>
    <w:rsid w:val="00187261"/>
    <w:rsid w:val="001875A3"/>
    <w:rsid w:val="00195519"/>
    <w:rsid w:val="001A5A04"/>
    <w:rsid w:val="001B05F7"/>
    <w:rsid w:val="001B3026"/>
    <w:rsid w:val="001C0799"/>
    <w:rsid w:val="001C0C40"/>
    <w:rsid w:val="001C67E0"/>
    <w:rsid w:val="001E1B2C"/>
    <w:rsid w:val="001E2C8B"/>
    <w:rsid w:val="001E2EC1"/>
    <w:rsid w:val="001E3C8A"/>
    <w:rsid w:val="001F33AE"/>
    <w:rsid w:val="001F638E"/>
    <w:rsid w:val="002026DC"/>
    <w:rsid w:val="00204FB9"/>
    <w:rsid w:val="00217DA6"/>
    <w:rsid w:val="002434F2"/>
    <w:rsid w:val="00251E0A"/>
    <w:rsid w:val="002623C1"/>
    <w:rsid w:val="00273F8D"/>
    <w:rsid w:val="00274B7B"/>
    <w:rsid w:val="00282A47"/>
    <w:rsid w:val="00284460"/>
    <w:rsid w:val="00294BC3"/>
    <w:rsid w:val="002B0A54"/>
    <w:rsid w:val="002D2961"/>
    <w:rsid w:val="002D2EE3"/>
    <w:rsid w:val="002D34A7"/>
    <w:rsid w:val="002D4C08"/>
    <w:rsid w:val="00310710"/>
    <w:rsid w:val="00356A36"/>
    <w:rsid w:val="00357613"/>
    <w:rsid w:val="003672BC"/>
    <w:rsid w:val="00370C52"/>
    <w:rsid w:val="00376B29"/>
    <w:rsid w:val="00376F51"/>
    <w:rsid w:val="00380958"/>
    <w:rsid w:val="0038180B"/>
    <w:rsid w:val="00391EEB"/>
    <w:rsid w:val="003A2F6B"/>
    <w:rsid w:val="003B056C"/>
    <w:rsid w:val="003B2F4E"/>
    <w:rsid w:val="00403178"/>
    <w:rsid w:val="00403704"/>
    <w:rsid w:val="004059EB"/>
    <w:rsid w:val="00416354"/>
    <w:rsid w:val="004222A9"/>
    <w:rsid w:val="00430E08"/>
    <w:rsid w:val="004424F5"/>
    <w:rsid w:val="0048688B"/>
    <w:rsid w:val="00491E38"/>
    <w:rsid w:val="004936A9"/>
    <w:rsid w:val="004939F5"/>
    <w:rsid w:val="0049498F"/>
    <w:rsid w:val="004A1176"/>
    <w:rsid w:val="004A4CA7"/>
    <w:rsid w:val="004A5D44"/>
    <w:rsid w:val="004B6299"/>
    <w:rsid w:val="004E5A32"/>
    <w:rsid w:val="004E5E93"/>
    <w:rsid w:val="00502B92"/>
    <w:rsid w:val="00514AC7"/>
    <w:rsid w:val="0052158D"/>
    <w:rsid w:val="00534785"/>
    <w:rsid w:val="00566340"/>
    <w:rsid w:val="00566CD7"/>
    <w:rsid w:val="00581D84"/>
    <w:rsid w:val="00584AE3"/>
    <w:rsid w:val="00585883"/>
    <w:rsid w:val="00585F3E"/>
    <w:rsid w:val="0058745D"/>
    <w:rsid w:val="005A0CBF"/>
    <w:rsid w:val="005A25FD"/>
    <w:rsid w:val="005A7459"/>
    <w:rsid w:val="005B3428"/>
    <w:rsid w:val="005C3FC2"/>
    <w:rsid w:val="005E5C13"/>
    <w:rsid w:val="005E730A"/>
    <w:rsid w:val="005E7B16"/>
    <w:rsid w:val="005F3AF6"/>
    <w:rsid w:val="005F5650"/>
    <w:rsid w:val="005F6BDA"/>
    <w:rsid w:val="005F7CF5"/>
    <w:rsid w:val="0060025C"/>
    <w:rsid w:val="00614BB6"/>
    <w:rsid w:val="00616C03"/>
    <w:rsid w:val="006235CA"/>
    <w:rsid w:val="006513CF"/>
    <w:rsid w:val="006563A3"/>
    <w:rsid w:val="00660936"/>
    <w:rsid w:val="00673EA7"/>
    <w:rsid w:val="00676277"/>
    <w:rsid w:val="00690649"/>
    <w:rsid w:val="00696FF9"/>
    <w:rsid w:val="00697D5F"/>
    <w:rsid w:val="006B4538"/>
    <w:rsid w:val="006B7F00"/>
    <w:rsid w:val="006C7CD0"/>
    <w:rsid w:val="006D0015"/>
    <w:rsid w:val="006D3748"/>
    <w:rsid w:val="006E3FDF"/>
    <w:rsid w:val="006F6139"/>
    <w:rsid w:val="00703293"/>
    <w:rsid w:val="00705341"/>
    <w:rsid w:val="00722BB9"/>
    <w:rsid w:val="00723069"/>
    <w:rsid w:val="00757088"/>
    <w:rsid w:val="007866DB"/>
    <w:rsid w:val="007A6ADA"/>
    <w:rsid w:val="007B7336"/>
    <w:rsid w:val="007C7C0E"/>
    <w:rsid w:val="007D18FC"/>
    <w:rsid w:val="007E02F5"/>
    <w:rsid w:val="007E3513"/>
    <w:rsid w:val="007E7B5E"/>
    <w:rsid w:val="00815C35"/>
    <w:rsid w:val="008232AF"/>
    <w:rsid w:val="00831262"/>
    <w:rsid w:val="00844812"/>
    <w:rsid w:val="00854B7D"/>
    <w:rsid w:val="008604A4"/>
    <w:rsid w:val="00864754"/>
    <w:rsid w:val="00875727"/>
    <w:rsid w:val="0087622C"/>
    <w:rsid w:val="00896BF4"/>
    <w:rsid w:val="008A7BD7"/>
    <w:rsid w:val="008B5AB9"/>
    <w:rsid w:val="008C065A"/>
    <w:rsid w:val="008C11A7"/>
    <w:rsid w:val="008C3E60"/>
    <w:rsid w:val="008D1569"/>
    <w:rsid w:val="008D6E04"/>
    <w:rsid w:val="008E7F77"/>
    <w:rsid w:val="008F11F5"/>
    <w:rsid w:val="00913567"/>
    <w:rsid w:val="009215DB"/>
    <w:rsid w:val="00922206"/>
    <w:rsid w:val="0093528F"/>
    <w:rsid w:val="00950D24"/>
    <w:rsid w:val="009767E5"/>
    <w:rsid w:val="009B33E8"/>
    <w:rsid w:val="009B7723"/>
    <w:rsid w:val="009C527E"/>
    <w:rsid w:val="009E36A2"/>
    <w:rsid w:val="009F2C4F"/>
    <w:rsid w:val="009F5247"/>
    <w:rsid w:val="00A03C04"/>
    <w:rsid w:val="00A52B14"/>
    <w:rsid w:val="00A565E9"/>
    <w:rsid w:val="00A7733A"/>
    <w:rsid w:val="00A8378F"/>
    <w:rsid w:val="00A84E2D"/>
    <w:rsid w:val="00A8563F"/>
    <w:rsid w:val="00A95022"/>
    <w:rsid w:val="00AC5DC8"/>
    <w:rsid w:val="00AD1309"/>
    <w:rsid w:val="00AD6454"/>
    <w:rsid w:val="00AE02FB"/>
    <w:rsid w:val="00AE7CB7"/>
    <w:rsid w:val="00AF03C1"/>
    <w:rsid w:val="00B03366"/>
    <w:rsid w:val="00B046A1"/>
    <w:rsid w:val="00B047D3"/>
    <w:rsid w:val="00B107F5"/>
    <w:rsid w:val="00B17D62"/>
    <w:rsid w:val="00B424AD"/>
    <w:rsid w:val="00B50955"/>
    <w:rsid w:val="00B52EBE"/>
    <w:rsid w:val="00B61890"/>
    <w:rsid w:val="00B72D37"/>
    <w:rsid w:val="00B93C29"/>
    <w:rsid w:val="00B96EC4"/>
    <w:rsid w:val="00BB4F21"/>
    <w:rsid w:val="00BD70A1"/>
    <w:rsid w:val="00BF1E77"/>
    <w:rsid w:val="00BF41CA"/>
    <w:rsid w:val="00BF7195"/>
    <w:rsid w:val="00C30CD6"/>
    <w:rsid w:val="00C53670"/>
    <w:rsid w:val="00C54FBD"/>
    <w:rsid w:val="00C55FD3"/>
    <w:rsid w:val="00C668D4"/>
    <w:rsid w:val="00C82512"/>
    <w:rsid w:val="00C84497"/>
    <w:rsid w:val="00C9149D"/>
    <w:rsid w:val="00CA1A5D"/>
    <w:rsid w:val="00CB611F"/>
    <w:rsid w:val="00CC00CB"/>
    <w:rsid w:val="00CC1AF7"/>
    <w:rsid w:val="00CC3D3B"/>
    <w:rsid w:val="00CC683B"/>
    <w:rsid w:val="00CD733E"/>
    <w:rsid w:val="00D26BA1"/>
    <w:rsid w:val="00D43F72"/>
    <w:rsid w:val="00D510A2"/>
    <w:rsid w:val="00D60222"/>
    <w:rsid w:val="00D61F25"/>
    <w:rsid w:val="00D85AFB"/>
    <w:rsid w:val="00D87C0A"/>
    <w:rsid w:val="00D9429F"/>
    <w:rsid w:val="00DA1165"/>
    <w:rsid w:val="00DA125D"/>
    <w:rsid w:val="00DA3101"/>
    <w:rsid w:val="00DA6F53"/>
    <w:rsid w:val="00DC325F"/>
    <w:rsid w:val="00DC3457"/>
    <w:rsid w:val="00DE7757"/>
    <w:rsid w:val="00E02EAC"/>
    <w:rsid w:val="00E10781"/>
    <w:rsid w:val="00E160FE"/>
    <w:rsid w:val="00E22A0C"/>
    <w:rsid w:val="00E35324"/>
    <w:rsid w:val="00E61625"/>
    <w:rsid w:val="00E61D77"/>
    <w:rsid w:val="00E6237A"/>
    <w:rsid w:val="00E63171"/>
    <w:rsid w:val="00E7608A"/>
    <w:rsid w:val="00E825C6"/>
    <w:rsid w:val="00E91CA9"/>
    <w:rsid w:val="00EC0009"/>
    <w:rsid w:val="00EE0291"/>
    <w:rsid w:val="00EE65F0"/>
    <w:rsid w:val="00F06061"/>
    <w:rsid w:val="00F13CCE"/>
    <w:rsid w:val="00F15516"/>
    <w:rsid w:val="00F22667"/>
    <w:rsid w:val="00F60B9C"/>
    <w:rsid w:val="00F61495"/>
    <w:rsid w:val="00F62777"/>
    <w:rsid w:val="00F82167"/>
    <w:rsid w:val="00F83F8B"/>
    <w:rsid w:val="00F87F68"/>
    <w:rsid w:val="00F90948"/>
    <w:rsid w:val="00F93198"/>
    <w:rsid w:val="00F946AB"/>
    <w:rsid w:val="00FA472D"/>
    <w:rsid w:val="00FC0DD6"/>
    <w:rsid w:val="00FC2466"/>
    <w:rsid w:val="00FD20F4"/>
    <w:rsid w:val="00FE2540"/>
    <w:rsid w:val="00FE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15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0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000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EC0009"/>
    <w:rPr>
      <w:color w:val="0066CC"/>
      <w:u w:val="single"/>
    </w:rPr>
  </w:style>
  <w:style w:type="character" w:customStyle="1" w:styleId="10">
    <w:name w:val="Заголовок 1 Знак"/>
    <w:basedOn w:val="a0"/>
    <w:link w:val="1"/>
    <w:uiPriority w:val="9"/>
    <w:rsid w:val="009215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6">
    <w:name w:val="Table Grid"/>
    <w:basedOn w:val="a1"/>
    <w:uiPriority w:val="59"/>
    <w:rsid w:val="009215D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15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0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000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EC0009"/>
    <w:rPr>
      <w:color w:val="0066CC"/>
      <w:u w:val="single"/>
    </w:rPr>
  </w:style>
  <w:style w:type="character" w:customStyle="1" w:styleId="10">
    <w:name w:val="Заголовок 1 Знак"/>
    <w:basedOn w:val="a0"/>
    <w:link w:val="1"/>
    <w:uiPriority w:val="9"/>
    <w:rsid w:val="009215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6">
    <w:name w:val="Table Grid"/>
    <w:basedOn w:val="a1"/>
    <w:uiPriority w:val="59"/>
    <w:rsid w:val="009215D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gost-r-iso-26000-201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21663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zd.ni/static/public/m?STRUCTURE_ID=508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11</Pages>
  <Words>2813</Words>
  <Characters>16040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5</cp:revision>
  <dcterms:created xsi:type="dcterms:W3CDTF">2020-09-07T19:52:00Z</dcterms:created>
  <dcterms:modified xsi:type="dcterms:W3CDTF">2020-09-08T04:22:00Z</dcterms:modified>
</cp:coreProperties>
</file>